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032E9" w14:textId="77777777" w:rsidR="00287BD0" w:rsidRDefault="00C30E97">
      <w:pPr>
        <w:pStyle w:val="Heading1"/>
      </w:pPr>
      <w:r>
        <w:t>Records Schedule Development Worksheet</w:t>
      </w:r>
    </w:p>
    <w:p w14:paraId="2D2DC965" w14:textId="77777777" w:rsidR="00287BD0" w:rsidRDefault="00C30E97">
      <w:pPr>
        <w:pStyle w:val="Subtitle"/>
        <w:rPr>
          <w:i/>
          <w:color w:val="404040"/>
        </w:rPr>
      </w:pPr>
      <w:r>
        <w:rPr>
          <w:i/>
          <w:color w:val="404040"/>
        </w:rPr>
        <w:t>Use this worksheet to capture the information you will need to finalize and submit your schedule.</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Answer key - Cryptocurrency Audit Files"/>
        <w:tblDescription w:val="First column lists the category of information.  Second column lists sample answers."/>
      </w:tblPr>
      <w:tblGrid>
        <w:gridCol w:w="3415"/>
        <w:gridCol w:w="5935"/>
      </w:tblGrid>
      <w:tr w:rsidR="00287BD0" w14:paraId="1A08AFA8" w14:textId="77777777" w:rsidTr="00753045">
        <w:trPr>
          <w:cantSplit/>
          <w:tblHeader/>
        </w:trPr>
        <w:tc>
          <w:tcPr>
            <w:tcW w:w="3415" w:type="dxa"/>
            <w:shd w:val="clear" w:color="auto" w:fill="BDD7EE"/>
          </w:tcPr>
          <w:p w14:paraId="5093FCBC" w14:textId="77777777" w:rsidR="00287BD0" w:rsidRDefault="00C30E97">
            <w:pPr>
              <w:rPr>
                <w:b/>
              </w:rPr>
            </w:pPr>
            <w:r>
              <w:rPr>
                <w:b/>
              </w:rPr>
              <w:t>Field</w:t>
            </w:r>
          </w:p>
        </w:tc>
        <w:tc>
          <w:tcPr>
            <w:tcW w:w="5935" w:type="dxa"/>
            <w:shd w:val="clear" w:color="auto" w:fill="BDD7EE"/>
          </w:tcPr>
          <w:p w14:paraId="5853985B" w14:textId="77777777" w:rsidR="00287BD0" w:rsidRDefault="00C30E97">
            <w:pPr>
              <w:rPr>
                <w:b/>
              </w:rPr>
            </w:pPr>
            <w:r>
              <w:rPr>
                <w:b/>
              </w:rPr>
              <w:t>Schedule Information</w:t>
            </w:r>
          </w:p>
        </w:tc>
      </w:tr>
      <w:tr w:rsidR="00287BD0" w14:paraId="206085E7" w14:textId="77777777" w:rsidTr="00753045">
        <w:trPr>
          <w:cantSplit/>
        </w:trPr>
        <w:tc>
          <w:tcPr>
            <w:tcW w:w="3415" w:type="dxa"/>
            <w:shd w:val="clear" w:color="auto" w:fill="BDD7EE"/>
          </w:tcPr>
          <w:p w14:paraId="5A477647" w14:textId="77777777" w:rsidR="00287BD0" w:rsidRDefault="00C30E97">
            <w:pPr>
              <w:rPr>
                <w:b/>
              </w:rPr>
            </w:pPr>
            <w:r>
              <w:rPr>
                <w:b/>
              </w:rPr>
              <w:t>Agency or Establishment</w:t>
            </w:r>
          </w:p>
        </w:tc>
        <w:tc>
          <w:tcPr>
            <w:tcW w:w="5935" w:type="dxa"/>
          </w:tcPr>
          <w:p w14:paraId="02916F1E" w14:textId="77777777" w:rsidR="00287BD0" w:rsidRDefault="00C30E97">
            <w:r>
              <w:t>Federal Election Commission</w:t>
            </w:r>
          </w:p>
        </w:tc>
      </w:tr>
      <w:tr w:rsidR="00287BD0" w14:paraId="68EB8030" w14:textId="77777777" w:rsidTr="00753045">
        <w:trPr>
          <w:cantSplit/>
        </w:trPr>
        <w:tc>
          <w:tcPr>
            <w:tcW w:w="3415" w:type="dxa"/>
            <w:shd w:val="clear" w:color="auto" w:fill="BDD7EE"/>
          </w:tcPr>
          <w:p w14:paraId="31FDA4A5" w14:textId="77777777" w:rsidR="00287BD0" w:rsidRDefault="00C30E97">
            <w:pPr>
              <w:rPr>
                <w:b/>
              </w:rPr>
            </w:pPr>
            <w:r>
              <w:rPr>
                <w:b/>
              </w:rPr>
              <w:t>Records Schedule applies to</w:t>
            </w:r>
          </w:p>
        </w:tc>
        <w:tc>
          <w:tcPr>
            <w:tcW w:w="5935" w:type="dxa"/>
          </w:tcPr>
          <w:p w14:paraId="6AA2217C" w14:textId="77777777" w:rsidR="00287BD0" w:rsidRDefault="00C30E97">
            <w:r>
              <w:t>Office of Cryptocurrency Policy</w:t>
            </w:r>
          </w:p>
        </w:tc>
      </w:tr>
      <w:tr w:rsidR="00287BD0" w14:paraId="3B13B505" w14:textId="77777777" w:rsidTr="00753045">
        <w:trPr>
          <w:cantSplit/>
        </w:trPr>
        <w:tc>
          <w:tcPr>
            <w:tcW w:w="3415" w:type="dxa"/>
            <w:shd w:val="clear" w:color="auto" w:fill="BDD7EE"/>
            <w:vAlign w:val="bottom"/>
          </w:tcPr>
          <w:p w14:paraId="2DA1B217" w14:textId="77777777" w:rsidR="00287BD0" w:rsidRDefault="00C30E97">
            <w:pPr>
              <w:rPr>
                <w:b/>
              </w:rPr>
            </w:pPr>
            <w:r>
              <w:rPr>
                <w:b/>
              </w:rPr>
              <w:t>Schedule Subject</w:t>
            </w:r>
          </w:p>
          <w:p w14:paraId="2F39F17A" w14:textId="77777777" w:rsidR="00287BD0" w:rsidRDefault="00C30E97">
            <w:pPr>
              <w:rPr>
                <w:i/>
                <w:color w:val="404040"/>
              </w:rPr>
            </w:pPr>
            <w:r>
              <w:rPr>
                <w:i/>
                <w:color w:val="404040"/>
              </w:rPr>
              <w:t>(A short title for the schedule.)</w:t>
            </w:r>
          </w:p>
        </w:tc>
        <w:tc>
          <w:tcPr>
            <w:tcW w:w="5935" w:type="dxa"/>
            <w:vAlign w:val="bottom"/>
          </w:tcPr>
          <w:p w14:paraId="5CF195FB" w14:textId="77777777" w:rsidR="00287BD0" w:rsidRDefault="00C30E97">
            <w:r>
              <w:t>Cryptocurrency Audit Files</w:t>
            </w:r>
          </w:p>
        </w:tc>
      </w:tr>
      <w:tr w:rsidR="00287BD0" w14:paraId="56636979" w14:textId="77777777" w:rsidTr="00753045">
        <w:trPr>
          <w:cantSplit/>
        </w:trPr>
        <w:tc>
          <w:tcPr>
            <w:tcW w:w="3415" w:type="dxa"/>
            <w:shd w:val="clear" w:color="auto" w:fill="BDD7EE"/>
            <w:vAlign w:val="bottom"/>
          </w:tcPr>
          <w:p w14:paraId="7E145DCD" w14:textId="77777777" w:rsidR="00287BD0" w:rsidRDefault="00C30E97">
            <w:pPr>
              <w:rPr>
                <w:b/>
              </w:rPr>
            </w:pPr>
            <w:r>
              <w:rPr>
                <w:b/>
              </w:rPr>
              <w:t>Internal agency concurrences</w:t>
            </w:r>
          </w:p>
          <w:p w14:paraId="6E5F6B45" w14:textId="77777777" w:rsidR="00287BD0" w:rsidRDefault="00C30E97">
            <w:r>
              <w:rPr>
                <w:i/>
                <w:color w:val="404040"/>
              </w:rPr>
              <w:t>(Note how you are documenting the internal schedule review and approval process</w:t>
            </w:r>
            <w:r>
              <w:t>)</w:t>
            </w:r>
          </w:p>
        </w:tc>
        <w:tc>
          <w:tcPr>
            <w:tcW w:w="5935" w:type="dxa"/>
            <w:vAlign w:val="bottom"/>
          </w:tcPr>
          <w:p w14:paraId="5DA32230" w14:textId="77777777" w:rsidR="00287BD0" w:rsidRDefault="00C30E97">
            <w:r>
              <w:t xml:space="preserve">Final agency internal concurrences were documented via email and e-signed by the Director, Office of Cryptocurrency Policy, and by the Agency Records Officer. </w:t>
            </w:r>
          </w:p>
        </w:tc>
      </w:tr>
      <w:tr w:rsidR="00287BD0" w14:paraId="0CC8AB54" w14:textId="77777777" w:rsidTr="00753045">
        <w:trPr>
          <w:cantSplit/>
        </w:trPr>
        <w:tc>
          <w:tcPr>
            <w:tcW w:w="3415" w:type="dxa"/>
            <w:shd w:val="clear" w:color="auto" w:fill="BDD7EE"/>
            <w:vAlign w:val="bottom"/>
          </w:tcPr>
          <w:p w14:paraId="3ED21F39" w14:textId="77777777" w:rsidR="00287BD0" w:rsidRDefault="00C30E97">
            <w:pPr>
              <w:rPr>
                <w:b/>
              </w:rPr>
            </w:pPr>
            <w:r>
              <w:rPr>
                <w:b/>
              </w:rPr>
              <w:t>Background Inf</w:t>
            </w:r>
            <w:r>
              <w:rPr>
                <w:b/>
              </w:rPr>
              <w:t>ormation</w:t>
            </w:r>
          </w:p>
          <w:p w14:paraId="1E04A680" w14:textId="77777777" w:rsidR="00287BD0" w:rsidRDefault="00C30E97">
            <w:pPr>
              <w:rPr>
                <w:i/>
                <w:color w:val="404040"/>
              </w:rPr>
            </w:pPr>
            <w:r>
              <w:rPr>
                <w:i/>
                <w:color w:val="404040"/>
              </w:rPr>
              <w:t>(Note any background information relevant to the schedule, such as information about the mission of the offices using the schedule or any underlying statutes and regulations related to the schedule.)</w:t>
            </w:r>
          </w:p>
        </w:tc>
        <w:tc>
          <w:tcPr>
            <w:tcW w:w="5935" w:type="dxa"/>
            <w:vAlign w:val="bottom"/>
          </w:tcPr>
          <w:p w14:paraId="33743958" w14:textId="77777777" w:rsidR="00287BD0" w:rsidRDefault="00C30E97">
            <w:r>
              <w:t>The Office of Cryptocurrency Policy conducts qu</w:t>
            </w:r>
            <w:r>
              <w:t>arterly audits of compliance with cryptocurrency rules as required under 11 CFR Subchapter G, parts 9200-9299.</w:t>
            </w:r>
          </w:p>
        </w:tc>
      </w:tr>
      <w:tr w:rsidR="00287BD0" w14:paraId="4302A2C1" w14:textId="77777777" w:rsidTr="00753045">
        <w:trPr>
          <w:cantSplit/>
        </w:trPr>
        <w:tc>
          <w:tcPr>
            <w:tcW w:w="3415" w:type="dxa"/>
            <w:shd w:val="clear" w:color="auto" w:fill="BDD7EE"/>
            <w:vAlign w:val="bottom"/>
          </w:tcPr>
          <w:p w14:paraId="09617E80" w14:textId="77777777" w:rsidR="00287BD0" w:rsidRDefault="00C30E97">
            <w:pPr>
              <w:rPr>
                <w:b/>
              </w:rPr>
            </w:pPr>
            <w:r>
              <w:rPr>
                <w:b/>
              </w:rPr>
              <w:t>Overview Title and Description</w:t>
            </w:r>
          </w:p>
          <w:p w14:paraId="7C3EA4D3" w14:textId="77777777" w:rsidR="00287BD0" w:rsidRDefault="00C30E97">
            <w:pPr>
              <w:rPr>
                <w:i/>
                <w:color w:val="404040"/>
              </w:rPr>
            </w:pPr>
            <w:r>
              <w:rPr>
                <w:i/>
                <w:color w:val="404040"/>
              </w:rPr>
              <w:t>(An Overview is an optional, descriptive heading with information used to group related items under that heading.</w:t>
            </w:r>
            <w:r>
              <w:rPr>
                <w:i/>
                <w:color w:val="404040"/>
              </w:rPr>
              <w:t xml:space="preserve">  Do not use if documenting a single item.)</w:t>
            </w:r>
          </w:p>
        </w:tc>
        <w:tc>
          <w:tcPr>
            <w:tcW w:w="5935" w:type="dxa"/>
            <w:vAlign w:val="bottom"/>
          </w:tcPr>
          <w:p w14:paraId="0A4638ED" w14:textId="77777777" w:rsidR="00287BD0" w:rsidRDefault="00C30E97">
            <w:r>
              <w:t>N/A</w:t>
            </w:r>
          </w:p>
        </w:tc>
      </w:tr>
      <w:tr w:rsidR="00287BD0" w14:paraId="01E7092D" w14:textId="77777777" w:rsidTr="00753045">
        <w:trPr>
          <w:cantSplit/>
        </w:trPr>
        <w:tc>
          <w:tcPr>
            <w:tcW w:w="3415" w:type="dxa"/>
            <w:shd w:val="clear" w:color="auto" w:fill="BDD7EE"/>
            <w:vAlign w:val="bottom"/>
          </w:tcPr>
          <w:p w14:paraId="572AAAF7" w14:textId="77777777" w:rsidR="00287BD0" w:rsidRDefault="00C30E97">
            <w:pPr>
              <w:rPr>
                <w:b/>
              </w:rPr>
            </w:pPr>
            <w:r>
              <w:rPr>
                <w:b/>
              </w:rPr>
              <w:t>Item Title</w:t>
            </w:r>
          </w:p>
          <w:p w14:paraId="1AEDB24E" w14:textId="77777777" w:rsidR="00287BD0" w:rsidRDefault="00C30E97">
            <w:pPr>
              <w:rPr>
                <w:i/>
                <w:color w:val="404040"/>
              </w:rPr>
            </w:pPr>
            <w:r>
              <w:rPr>
                <w:i/>
                <w:color w:val="404040"/>
              </w:rPr>
              <w:t>(A name clearly representing the records being described by the schedule.  The title should be meaningful to agency personnel.)</w:t>
            </w:r>
          </w:p>
        </w:tc>
        <w:tc>
          <w:tcPr>
            <w:tcW w:w="5935" w:type="dxa"/>
            <w:vAlign w:val="bottom"/>
          </w:tcPr>
          <w:p w14:paraId="2BDE1562" w14:textId="77777777" w:rsidR="00287BD0" w:rsidRDefault="00C30E97">
            <w:r>
              <w:t>Cryptocurrency Audit Files</w:t>
            </w:r>
          </w:p>
        </w:tc>
      </w:tr>
      <w:tr w:rsidR="00287BD0" w14:paraId="533E5C6A" w14:textId="77777777" w:rsidTr="00753045">
        <w:trPr>
          <w:cantSplit/>
        </w:trPr>
        <w:tc>
          <w:tcPr>
            <w:tcW w:w="3415" w:type="dxa"/>
            <w:shd w:val="clear" w:color="auto" w:fill="BDD7EE"/>
            <w:vAlign w:val="bottom"/>
          </w:tcPr>
          <w:p w14:paraId="1757BC25" w14:textId="77777777" w:rsidR="00287BD0" w:rsidRDefault="00C30E97">
            <w:pPr>
              <w:rPr>
                <w:b/>
              </w:rPr>
            </w:pPr>
            <w:r>
              <w:rPr>
                <w:b/>
              </w:rPr>
              <w:t>Item Description</w:t>
            </w:r>
          </w:p>
          <w:p w14:paraId="1BD9A526" w14:textId="77777777" w:rsidR="00287BD0" w:rsidRDefault="00C30E97">
            <w:pPr>
              <w:rPr>
                <w:i/>
              </w:rPr>
            </w:pPr>
            <w:r>
              <w:rPr>
                <w:i/>
              </w:rPr>
              <w:t>(Include clear, concise information about the record content and the function for which the records are used.)</w:t>
            </w:r>
          </w:p>
        </w:tc>
        <w:tc>
          <w:tcPr>
            <w:tcW w:w="5935" w:type="dxa"/>
            <w:vAlign w:val="bottom"/>
          </w:tcPr>
          <w:p w14:paraId="07A154C9" w14:textId="77777777" w:rsidR="00287BD0" w:rsidRDefault="00C30E97">
            <w:r>
              <w:t>Files documenting quarterly audits of compliance with cryptocurrency rules.  Records include meeting and audit notes, summary of findings, recomm</w:t>
            </w:r>
            <w:r>
              <w:t>endations, and follow-up notes.</w:t>
            </w:r>
          </w:p>
        </w:tc>
      </w:tr>
      <w:tr w:rsidR="00287BD0" w14:paraId="2E087B89" w14:textId="77777777" w:rsidTr="00753045">
        <w:trPr>
          <w:cantSplit/>
        </w:trPr>
        <w:tc>
          <w:tcPr>
            <w:tcW w:w="3415" w:type="dxa"/>
            <w:shd w:val="clear" w:color="auto" w:fill="BDD7EE"/>
            <w:vAlign w:val="bottom"/>
          </w:tcPr>
          <w:p w14:paraId="1A6C2D98" w14:textId="77777777" w:rsidR="00287BD0" w:rsidRDefault="00C30E97">
            <w:pPr>
              <w:rPr>
                <w:b/>
              </w:rPr>
            </w:pPr>
            <w:r>
              <w:rPr>
                <w:b/>
              </w:rPr>
              <w:t>Final Disposition</w:t>
            </w:r>
          </w:p>
          <w:p w14:paraId="431DE6F4" w14:textId="77777777" w:rsidR="00287BD0" w:rsidRDefault="00C30E97">
            <w:pPr>
              <w:rPr>
                <w:i/>
                <w:color w:val="404040"/>
              </w:rPr>
            </w:pPr>
            <w:r>
              <w:rPr>
                <w:i/>
                <w:color w:val="404040"/>
              </w:rPr>
              <w:t>(Indicate whether you are proposing the records as Temporary or Permanent.)</w:t>
            </w:r>
          </w:p>
        </w:tc>
        <w:tc>
          <w:tcPr>
            <w:tcW w:w="5935" w:type="dxa"/>
            <w:vAlign w:val="bottom"/>
          </w:tcPr>
          <w:p w14:paraId="6D31E419" w14:textId="77777777" w:rsidR="00287BD0" w:rsidRDefault="00C30E97">
            <w:r>
              <w:t>Temporary.</w:t>
            </w:r>
          </w:p>
        </w:tc>
      </w:tr>
      <w:tr w:rsidR="00287BD0" w14:paraId="5FA4DCBA" w14:textId="77777777" w:rsidTr="00753045">
        <w:trPr>
          <w:cantSplit/>
        </w:trPr>
        <w:tc>
          <w:tcPr>
            <w:tcW w:w="3415" w:type="dxa"/>
            <w:shd w:val="clear" w:color="auto" w:fill="BDD7EE"/>
            <w:vAlign w:val="bottom"/>
          </w:tcPr>
          <w:p w14:paraId="1677F257" w14:textId="77777777" w:rsidR="00287BD0" w:rsidRDefault="00C30E97">
            <w:pPr>
              <w:rPr>
                <w:b/>
              </w:rPr>
            </w:pPr>
            <w:r>
              <w:rPr>
                <w:b/>
              </w:rPr>
              <w:t>Is this item media neutral?</w:t>
            </w:r>
          </w:p>
          <w:p w14:paraId="1298B698" w14:textId="77777777" w:rsidR="00287BD0" w:rsidRDefault="00C30E97">
            <w:pPr>
              <w:rPr>
                <w:i/>
              </w:rPr>
            </w:pPr>
            <w:r>
              <w:rPr>
                <w:i/>
              </w:rPr>
              <w:t>(If records being scheduled are media-specific, indicate “No.”)</w:t>
            </w:r>
          </w:p>
        </w:tc>
        <w:tc>
          <w:tcPr>
            <w:tcW w:w="5935" w:type="dxa"/>
            <w:vAlign w:val="bottom"/>
          </w:tcPr>
          <w:p w14:paraId="07A1A789" w14:textId="77777777" w:rsidR="00287BD0" w:rsidRDefault="00C30E97">
            <w:r>
              <w:t>Yes.</w:t>
            </w:r>
          </w:p>
        </w:tc>
      </w:tr>
      <w:tr w:rsidR="00287BD0" w14:paraId="142CC959" w14:textId="77777777" w:rsidTr="00753045">
        <w:trPr>
          <w:cantSplit/>
        </w:trPr>
        <w:tc>
          <w:tcPr>
            <w:tcW w:w="3415" w:type="dxa"/>
            <w:shd w:val="clear" w:color="auto" w:fill="BDD7EE"/>
            <w:vAlign w:val="bottom"/>
          </w:tcPr>
          <w:p w14:paraId="52B4C0FB" w14:textId="77777777" w:rsidR="00287BD0" w:rsidRDefault="00C30E97">
            <w:pPr>
              <w:rPr>
                <w:b/>
              </w:rPr>
            </w:pPr>
            <w:r>
              <w:rPr>
                <w:b/>
              </w:rPr>
              <w:lastRenderedPageBreak/>
              <w:t>Do any of the recor</w:t>
            </w:r>
            <w:r>
              <w:rPr>
                <w:b/>
              </w:rPr>
              <w:t>ds covered by this item currently exist in electronic format(s) other than email and word processing?</w:t>
            </w:r>
          </w:p>
          <w:p w14:paraId="7B5C4F39" w14:textId="77777777" w:rsidR="00287BD0" w:rsidRDefault="00C30E97">
            <w:pPr>
              <w:rPr>
                <w:i/>
                <w:color w:val="404040"/>
              </w:rPr>
            </w:pPr>
            <w:r>
              <w:rPr>
                <w:i/>
                <w:color w:val="404040"/>
              </w:rPr>
              <w:t>(If the files exist in electronic formats other than email and word processing, indicate “Yes.”)</w:t>
            </w:r>
          </w:p>
        </w:tc>
        <w:tc>
          <w:tcPr>
            <w:tcW w:w="5935" w:type="dxa"/>
            <w:vAlign w:val="bottom"/>
          </w:tcPr>
          <w:p w14:paraId="1F582915" w14:textId="77777777" w:rsidR="00287BD0" w:rsidRDefault="00C30E97">
            <w:r>
              <w:t>No</w:t>
            </w:r>
          </w:p>
        </w:tc>
      </w:tr>
      <w:tr w:rsidR="00287BD0" w14:paraId="54769117" w14:textId="77777777" w:rsidTr="00753045">
        <w:trPr>
          <w:cantSplit/>
        </w:trPr>
        <w:tc>
          <w:tcPr>
            <w:tcW w:w="3415" w:type="dxa"/>
            <w:shd w:val="clear" w:color="auto" w:fill="BDD7EE"/>
            <w:vAlign w:val="bottom"/>
          </w:tcPr>
          <w:p w14:paraId="15351016" w14:textId="77777777" w:rsidR="00287BD0" w:rsidRDefault="00C30E97">
            <w:pPr>
              <w:rPr>
                <w:b/>
              </w:rPr>
            </w:pPr>
            <w:r>
              <w:rPr>
                <w:b/>
              </w:rPr>
              <w:t>Do any of the records covered by this item exist as s</w:t>
            </w:r>
            <w:r>
              <w:rPr>
                <w:b/>
              </w:rPr>
              <w:t>tructured electronic data?</w:t>
            </w:r>
          </w:p>
          <w:p w14:paraId="2FB6CAAD" w14:textId="77777777" w:rsidR="00287BD0" w:rsidRDefault="00C30E97">
            <w:pPr>
              <w:rPr>
                <w:i/>
                <w:color w:val="404040"/>
              </w:rPr>
            </w:pPr>
            <w:r>
              <w:rPr>
                <w:i/>
                <w:color w:val="404040"/>
              </w:rPr>
              <w:t>(If the records exist as a database or fielded data, indicate “Yes.”)</w:t>
            </w:r>
          </w:p>
        </w:tc>
        <w:tc>
          <w:tcPr>
            <w:tcW w:w="5935" w:type="dxa"/>
            <w:vAlign w:val="bottom"/>
          </w:tcPr>
          <w:p w14:paraId="128A088C" w14:textId="77777777" w:rsidR="00287BD0" w:rsidRDefault="00C30E97">
            <w:r>
              <w:t>No</w:t>
            </w:r>
          </w:p>
        </w:tc>
      </w:tr>
      <w:tr w:rsidR="00287BD0" w14:paraId="0166C115" w14:textId="77777777" w:rsidTr="00753045">
        <w:trPr>
          <w:cantSplit/>
        </w:trPr>
        <w:tc>
          <w:tcPr>
            <w:tcW w:w="3415" w:type="dxa"/>
            <w:shd w:val="clear" w:color="auto" w:fill="BDD7EE"/>
            <w:vAlign w:val="bottom"/>
          </w:tcPr>
          <w:p w14:paraId="63A8FBF7" w14:textId="77777777" w:rsidR="00287BD0" w:rsidRDefault="00C30E97">
            <w:pPr>
              <w:rPr>
                <w:b/>
              </w:rPr>
            </w:pPr>
            <w:r>
              <w:rPr>
                <w:b/>
              </w:rPr>
              <w:t>Manual Citation Information</w:t>
            </w:r>
          </w:p>
          <w:p w14:paraId="64D7200D" w14:textId="77777777" w:rsidR="00287BD0" w:rsidRDefault="00C30E97">
            <w:pPr>
              <w:rPr>
                <w:i/>
                <w:color w:val="404040"/>
              </w:rPr>
            </w:pPr>
            <w:r>
              <w:rPr>
                <w:i/>
                <w:color w:val="404040"/>
              </w:rPr>
              <w:t>(Enter the agency records disposition manual title and citation information. (Optional))</w:t>
            </w:r>
          </w:p>
        </w:tc>
        <w:tc>
          <w:tcPr>
            <w:tcW w:w="5935" w:type="dxa"/>
            <w:vAlign w:val="bottom"/>
          </w:tcPr>
          <w:p w14:paraId="2BF56D16" w14:textId="77777777" w:rsidR="00287BD0" w:rsidRDefault="00C30E97">
            <w:r>
              <w:t>FEC Records Disposition Manual, Item AUDITS-100</w:t>
            </w:r>
          </w:p>
        </w:tc>
      </w:tr>
      <w:tr w:rsidR="00287BD0" w14:paraId="21AED6E1" w14:textId="77777777" w:rsidTr="00753045">
        <w:trPr>
          <w:cantSplit/>
        </w:trPr>
        <w:tc>
          <w:tcPr>
            <w:tcW w:w="3415" w:type="dxa"/>
            <w:shd w:val="clear" w:color="auto" w:fill="BDD7EE"/>
            <w:vAlign w:val="bottom"/>
          </w:tcPr>
          <w:p w14:paraId="5E09FF2B" w14:textId="77777777" w:rsidR="00287BD0" w:rsidRDefault="00C30E97">
            <w:pPr>
              <w:rPr>
                <w:b/>
              </w:rPr>
            </w:pPr>
            <w:r>
              <w:rPr>
                <w:b/>
              </w:rPr>
              <w:t>GRS or Superseded Authority Citation</w:t>
            </w:r>
          </w:p>
          <w:p w14:paraId="408F0BD5" w14:textId="77777777" w:rsidR="00287BD0" w:rsidRDefault="00C30E97">
            <w:pPr>
              <w:rPr>
                <w:i/>
              </w:rPr>
            </w:pPr>
            <w:r>
              <w:rPr>
                <w:i/>
              </w:rPr>
              <w:t>(Use only if requesting an exception to the retention specified in the GRS or sup</w:t>
            </w:r>
            <w:r>
              <w:rPr>
                <w:i/>
              </w:rPr>
              <w:t>erseding an existing, approved agency schedule.)</w:t>
            </w:r>
          </w:p>
        </w:tc>
        <w:tc>
          <w:tcPr>
            <w:tcW w:w="5935" w:type="dxa"/>
            <w:vAlign w:val="bottom"/>
          </w:tcPr>
          <w:p w14:paraId="4AC5CF4F" w14:textId="77777777" w:rsidR="00287BD0" w:rsidRDefault="00C30E97">
            <w:r>
              <w:t>N/A</w:t>
            </w:r>
          </w:p>
        </w:tc>
      </w:tr>
      <w:tr w:rsidR="00287BD0" w14:paraId="43BA6B00" w14:textId="77777777" w:rsidTr="00753045">
        <w:trPr>
          <w:cantSplit/>
        </w:trPr>
        <w:tc>
          <w:tcPr>
            <w:tcW w:w="3415" w:type="dxa"/>
            <w:shd w:val="clear" w:color="auto" w:fill="BDD7EE"/>
            <w:vAlign w:val="bottom"/>
          </w:tcPr>
          <w:p w14:paraId="4B762CA9" w14:textId="77777777" w:rsidR="00287BD0" w:rsidRDefault="00C30E97">
            <w:pPr>
              <w:rPr>
                <w:b/>
              </w:rPr>
            </w:pPr>
            <w:r>
              <w:rPr>
                <w:b/>
              </w:rPr>
              <w:t>Disposition Instructions:  Cutoff</w:t>
            </w:r>
          </w:p>
          <w:p w14:paraId="0F9C2EB5" w14:textId="77777777" w:rsidR="00287BD0" w:rsidRDefault="00C30E97">
            <w:pPr>
              <w:rPr>
                <w:i/>
              </w:rPr>
            </w:pPr>
            <w:r>
              <w:rPr>
                <w:i/>
              </w:rPr>
              <w:t>(Include the cutoff, such as calendar year, fiscal year, etc.)</w:t>
            </w:r>
          </w:p>
        </w:tc>
        <w:tc>
          <w:tcPr>
            <w:tcW w:w="5935" w:type="dxa"/>
            <w:vAlign w:val="bottom"/>
          </w:tcPr>
          <w:p w14:paraId="75B88B06" w14:textId="77777777" w:rsidR="00287BD0" w:rsidRDefault="00C30E97">
            <w:r>
              <w:t>Cut off after closeout of any follow-up activities.</w:t>
            </w:r>
          </w:p>
        </w:tc>
      </w:tr>
      <w:tr w:rsidR="00287BD0" w14:paraId="6F433ADC" w14:textId="77777777" w:rsidTr="00753045">
        <w:trPr>
          <w:cantSplit/>
        </w:trPr>
        <w:tc>
          <w:tcPr>
            <w:tcW w:w="3415" w:type="dxa"/>
            <w:shd w:val="clear" w:color="auto" w:fill="BDD7EE"/>
            <w:vAlign w:val="bottom"/>
          </w:tcPr>
          <w:p w14:paraId="61A7C8B9" w14:textId="77777777" w:rsidR="00287BD0" w:rsidRDefault="00C30E97">
            <w:pPr>
              <w:rPr>
                <w:b/>
              </w:rPr>
            </w:pPr>
            <w:r>
              <w:rPr>
                <w:b/>
              </w:rPr>
              <w:t>Disposition Instructions: Transfer to Inactive Stora</w:t>
            </w:r>
            <w:r>
              <w:rPr>
                <w:b/>
              </w:rPr>
              <w:t>ge</w:t>
            </w:r>
          </w:p>
          <w:p w14:paraId="7CCC465B" w14:textId="77777777" w:rsidR="00287BD0" w:rsidRDefault="00C30E97">
            <w:pPr>
              <w:rPr>
                <w:i/>
                <w:color w:val="404040"/>
              </w:rPr>
            </w:pPr>
            <w:r>
              <w:rPr>
                <w:i/>
                <w:color w:val="404040"/>
              </w:rPr>
              <w:t>(Include information about when and where you are sending the records for inactive storage.)</w:t>
            </w:r>
          </w:p>
        </w:tc>
        <w:tc>
          <w:tcPr>
            <w:tcW w:w="5935" w:type="dxa"/>
            <w:vAlign w:val="bottom"/>
          </w:tcPr>
          <w:p w14:paraId="43B41981" w14:textId="77777777" w:rsidR="00287BD0" w:rsidRDefault="00C30E97">
            <w:r>
              <w:t>N/A</w:t>
            </w:r>
          </w:p>
        </w:tc>
      </w:tr>
      <w:tr w:rsidR="00287BD0" w14:paraId="28D8C69D" w14:textId="77777777" w:rsidTr="00753045">
        <w:trPr>
          <w:cantSplit/>
        </w:trPr>
        <w:tc>
          <w:tcPr>
            <w:tcW w:w="3415" w:type="dxa"/>
            <w:shd w:val="clear" w:color="auto" w:fill="BDD7EE"/>
            <w:vAlign w:val="bottom"/>
          </w:tcPr>
          <w:p w14:paraId="0135F154" w14:textId="77777777" w:rsidR="00287BD0" w:rsidRDefault="00C30E97">
            <w:pPr>
              <w:rPr>
                <w:b/>
              </w:rPr>
            </w:pPr>
            <w:r>
              <w:rPr>
                <w:b/>
              </w:rPr>
              <w:t>Retention Period</w:t>
            </w:r>
          </w:p>
          <w:p w14:paraId="0D77CA1B" w14:textId="77777777" w:rsidR="00287BD0" w:rsidRDefault="00C30E97">
            <w:pPr>
              <w:rPr>
                <w:i/>
                <w:color w:val="404040"/>
              </w:rPr>
            </w:pPr>
            <w:r>
              <w:rPr>
                <w:i/>
                <w:color w:val="404040"/>
              </w:rPr>
              <w:t>(The length of time before temporary records are to be destroyed or permanent records are to be transferred to the National Archives.)</w:t>
            </w:r>
          </w:p>
        </w:tc>
        <w:tc>
          <w:tcPr>
            <w:tcW w:w="5935" w:type="dxa"/>
            <w:vAlign w:val="bottom"/>
          </w:tcPr>
          <w:p w14:paraId="47913631" w14:textId="77777777" w:rsidR="00287BD0" w:rsidRDefault="00C30E97">
            <w:r>
              <w:t>Des</w:t>
            </w:r>
            <w:r>
              <w:t>troy 3 years after cutoff.</w:t>
            </w:r>
          </w:p>
        </w:tc>
      </w:tr>
      <w:tr w:rsidR="00287BD0" w14:paraId="7E5197B9" w14:textId="77777777" w:rsidTr="00753045">
        <w:trPr>
          <w:cantSplit/>
        </w:trPr>
        <w:tc>
          <w:tcPr>
            <w:tcW w:w="3415" w:type="dxa"/>
            <w:shd w:val="clear" w:color="auto" w:fill="BDD7EE"/>
            <w:vAlign w:val="bottom"/>
          </w:tcPr>
          <w:p w14:paraId="1F4837E0" w14:textId="77777777" w:rsidR="00287BD0" w:rsidRDefault="00C30E97">
            <w:pPr>
              <w:rPr>
                <w:b/>
              </w:rPr>
            </w:pPr>
            <w:r>
              <w:rPr>
                <w:b/>
              </w:rPr>
              <w:t>Temporary Records: GAO Approval</w:t>
            </w:r>
          </w:p>
          <w:p w14:paraId="309440C0" w14:textId="77777777" w:rsidR="00287BD0" w:rsidRDefault="00C30E97">
            <w:pPr>
              <w:rPr>
                <w:i/>
                <w:color w:val="404040"/>
              </w:rPr>
            </w:pPr>
            <w:r>
              <w:rPr>
                <w:i/>
                <w:color w:val="404040"/>
              </w:rPr>
              <w:t>(Indicate whether GAO approval is needed for this item)</w:t>
            </w:r>
          </w:p>
        </w:tc>
        <w:tc>
          <w:tcPr>
            <w:tcW w:w="5935" w:type="dxa"/>
            <w:vAlign w:val="bottom"/>
          </w:tcPr>
          <w:p w14:paraId="4284DE51" w14:textId="77777777" w:rsidR="00287BD0" w:rsidRDefault="00C30E97">
            <w:r>
              <w:t>Not needed.</w:t>
            </w:r>
          </w:p>
        </w:tc>
      </w:tr>
      <w:tr w:rsidR="00287BD0" w14:paraId="5A764CB3" w14:textId="77777777" w:rsidTr="00753045">
        <w:trPr>
          <w:cantSplit/>
        </w:trPr>
        <w:tc>
          <w:tcPr>
            <w:tcW w:w="3415" w:type="dxa"/>
            <w:shd w:val="clear" w:color="auto" w:fill="BDD7EE"/>
            <w:vAlign w:val="bottom"/>
          </w:tcPr>
          <w:p w14:paraId="1B368D4B" w14:textId="77777777" w:rsidR="00287BD0" w:rsidRDefault="00C30E97">
            <w:pPr>
              <w:rPr>
                <w:b/>
              </w:rPr>
            </w:pPr>
            <w:r>
              <w:rPr>
                <w:b/>
              </w:rPr>
              <w:t>Permanent Records: Date span of initial transfer of records to the National Archives.</w:t>
            </w:r>
          </w:p>
        </w:tc>
        <w:tc>
          <w:tcPr>
            <w:tcW w:w="5935" w:type="dxa"/>
            <w:vAlign w:val="bottom"/>
          </w:tcPr>
          <w:p w14:paraId="16D73E1B" w14:textId="77777777" w:rsidR="00287BD0" w:rsidRDefault="00C30E97">
            <w:r>
              <w:t>N/A</w:t>
            </w:r>
          </w:p>
        </w:tc>
      </w:tr>
      <w:tr w:rsidR="00287BD0" w14:paraId="4E4BA219" w14:textId="77777777" w:rsidTr="00753045">
        <w:trPr>
          <w:cantSplit/>
        </w:trPr>
        <w:tc>
          <w:tcPr>
            <w:tcW w:w="3415" w:type="dxa"/>
            <w:shd w:val="clear" w:color="auto" w:fill="BDD7EE"/>
            <w:vAlign w:val="bottom"/>
          </w:tcPr>
          <w:p w14:paraId="07696664" w14:textId="77777777" w:rsidR="00287BD0" w:rsidRDefault="00C30E97">
            <w:pPr>
              <w:rPr>
                <w:b/>
              </w:rPr>
            </w:pPr>
            <w:r>
              <w:rPr>
                <w:b/>
              </w:rPr>
              <w:t>Permanent Records: How frequently will your agency transfer these records to the National Archives?</w:t>
            </w:r>
          </w:p>
        </w:tc>
        <w:tc>
          <w:tcPr>
            <w:tcW w:w="5935" w:type="dxa"/>
            <w:vAlign w:val="bottom"/>
          </w:tcPr>
          <w:p w14:paraId="7189CB5D" w14:textId="77777777" w:rsidR="00287BD0" w:rsidRDefault="00C30E97">
            <w:r>
              <w:t>N/A</w:t>
            </w:r>
          </w:p>
        </w:tc>
      </w:tr>
      <w:tr w:rsidR="00287BD0" w14:paraId="4BE4D58E" w14:textId="77777777" w:rsidTr="00753045">
        <w:trPr>
          <w:cantSplit/>
        </w:trPr>
        <w:tc>
          <w:tcPr>
            <w:tcW w:w="3415" w:type="dxa"/>
            <w:shd w:val="clear" w:color="auto" w:fill="BDD7EE"/>
            <w:vAlign w:val="bottom"/>
          </w:tcPr>
          <w:p w14:paraId="469687E7" w14:textId="77777777" w:rsidR="00287BD0" w:rsidRDefault="00C30E97">
            <w:pPr>
              <w:rPr>
                <w:b/>
              </w:rPr>
            </w:pPr>
            <w:r>
              <w:rPr>
                <w:b/>
              </w:rPr>
              <w:lastRenderedPageBreak/>
              <w:t>Permanent Records: Estimated current volume and annual accum</w:t>
            </w:r>
            <w:r>
              <w:rPr>
                <w:b/>
              </w:rPr>
              <w:t>ulation.</w:t>
            </w:r>
          </w:p>
        </w:tc>
        <w:tc>
          <w:tcPr>
            <w:tcW w:w="5935" w:type="dxa"/>
            <w:vAlign w:val="bottom"/>
          </w:tcPr>
          <w:p w14:paraId="17E87533" w14:textId="77777777" w:rsidR="00287BD0" w:rsidRDefault="00C30E97">
            <w:r>
              <w:t>N/A</w:t>
            </w:r>
          </w:p>
        </w:tc>
      </w:tr>
      <w:tr w:rsidR="00287BD0" w14:paraId="6B4AD74A" w14:textId="77777777" w:rsidTr="00753045">
        <w:trPr>
          <w:cantSplit/>
          <w:trHeight w:val="1040"/>
        </w:trPr>
        <w:tc>
          <w:tcPr>
            <w:tcW w:w="3415" w:type="dxa"/>
            <w:shd w:val="clear" w:color="auto" w:fill="BDD7EE"/>
            <w:vAlign w:val="bottom"/>
          </w:tcPr>
          <w:p w14:paraId="24E192FC" w14:textId="77777777" w:rsidR="00287BD0" w:rsidRDefault="00C30E97">
            <w:pPr>
              <w:rPr>
                <w:b/>
              </w:rPr>
            </w:pPr>
            <w:r>
              <w:rPr>
                <w:b/>
              </w:rPr>
              <w:t>Other information or notes for this schedule.</w:t>
            </w:r>
          </w:p>
        </w:tc>
        <w:tc>
          <w:tcPr>
            <w:tcW w:w="5935" w:type="dxa"/>
            <w:vAlign w:val="bottom"/>
          </w:tcPr>
          <w:p w14:paraId="7CD0A4AF" w14:textId="77777777" w:rsidR="00287BD0" w:rsidRDefault="00C30E97">
            <w:r>
              <w:t>N/A</w:t>
            </w:r>
          </w:p>
        </w:tc>
      </w:tr>
    </w:tbl>
    <w:p w14:paraId="31322CB1" w14:textId="77777777" w:rsidR="00287BD0" w:rsidRDefault="00287BD0"/>
    <w:p w14:paraId="6CE9510C" w14:textId="77777777" w:rsidR="00287BD0" w:rsidRDefault="00C30E97">
      <w:r>
        <w:br w:type="page"/>
      </w:r>
    </w:p>
    <w:p w14:paraId="4DD735E4" w14:textId="77777777" w:rsidR="00287BD0" w:rsidRDefault="00C30E97">
      <w:pPr>
        <w:pStyle w:val="Heading1"/>
      </w:pPr>
      <w:r>
        <w:lastRenderedPageBreak/>
        <w:t>Records Schedule Development Worksheet</w:t>
      </w:r>
    </w:p>
    <w:p w14:paraId="543B4178" w14:textId="77777777" w:rsidR="00287BD0" w:rsidRDefault="00C30E97">
      <w:pPr>
        <w:pStyle w:val="Subtitle"/>
        <w:rPr>
          <w:i/>
          <w:color w:val="404040"/>
        </w:rPr>
      </w:pPr>
      <w:r>
        <w:rPr>
          <w:i/>
          <w:color w:val="404040"/>
        </w:rPr>
        <w:t>Use this worksheet to capture the information you will need to finalize and submit your schedule.</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Answer key for Cryptocurrencies Reference Database"/>
        <w:tblDescription w:val="First column lists the category of information.  Second column lists potential answers."/>
      </w:tblPr>
      <w:tblGrid>
        <w:gridCol w:w="3415"/>
        <w:gridCol w:w="5935"/>
      </w:tblGrid>
      <w:tr w:rsidR="00287BD0" w14:paraId="0102A497" w14:textId="77777777" w:rsidTr="00C30E97">
        <w:trPr>
          <w:cantSplit/>
          <w:tblHeader/>
        </w:trPr>
        <w:tc>
          <w:tcPr>
            <w:tcW w:w="3415" w:type="dxa"/>
            <w:shd w:val="clear" w:color="auto" w:fill="BDD7EE"/>
          </w:tcPr>
          <w:p w14:paraId="004B8A0A" w14:textId="77777777" w:rsidR="00287BD0" w:rsidRDefault="00C30E97">
            <w:pPr>
              <w:rPr>
                <w:b/>
              </w:rPr>
            </w:pPr>
            <w:r>
              <w:rPr>
                <w:b/>
              </w:rPr>
              <w:t>Field</w:t>
            </w:r>
          </w:p>
        </w:tc>
        <w:tc>
          <w:tcPr>
            <w:tcW w:w="5935" w:type="dxa"/>
            <w:shd w:val="clear" w:color="auto" w:fill="BDD7EE"/>
          </w:tcPr>
          <w:p w14:paraId="6CFB5542" w14:textId="77777777" w:rsidR="00287BD0" w:rsidRDefault="00C30E97">
            <w:pPr>
              <w:rPr>
                <w:b/>
              </w:rPr>
            </w:pPr>
            <w:r>
              <w:rPr>
                <w:b/>
              </w:rPr>
              <w:t>Schedule Information</w:t>
            </w:r>
          </w:p>
        </w:tc>
      </w:tr>
      <w:tr w:rsidR="00287BD0" w14:paraId="4C5433C4" w14:textId="77777777" w:rsidTr="00753045">
        <w:trPr>
          <w:cantSplit/>
        </w:trPr>
        <w:tc>
          <w:tcPr>
            <w:tcW w:w="3415" w:type="dxa"/>
            <w:shd w:val="clear" w:color="auto" w:fill="BDD7EE"/>
          </w:tcPr>
          <w:p w14:paraId="5D70EE06" w14:textId="77777777" w:rsidR="00287BD0" w:rsidRDefault="00C30E97">
            <w:pPr>
              <w:rPr>
                <w:b/>
              </w:rPr>
            </w:pPr>
            <w:r>
              <w:rPr>
                <w:b/>
              </w:rPr>
              <w:t>Agency or Establishment</w:t>
            </w:r>
          </w:p>
        </w:tc>
        <w:tc>
          <w:tcPr>
            <w:tcW w:w="5935" w:type="dxa"/>
          </w:tcPr>
          <w:p w14:paraId="50684CB9" w14:textId="77777777" w:rsidR="00287BD0" w:rsidRDefault="00C30E97">
            <w:r>
              <w:t>Federal Election Commission</w:t>
            </w:r>
          </w:p>
        </w:tc>
      </w:tr>
      <w:tr w:rsidR="00287BD0" w14:paraId="3F3F439C" w14:textId="77777777" w:rsidTr="00753045">
        <w:trPr>
          <w:cantSplit/>
        </w:trPr>
        <w:tc>
          <w:tcPr>
            <w:tcW w:w="3415" w:type="dxa"/>
            <w:shd w:val="clear" w:color="auto" w:fill="BDD7EE"/>
          </w:tcPr>
          <w:p w14:paraId="5552C8E2" w14:textId="77777777" w:rsidR="00287BD0" w:rsidRDefault="00C30E97">
            <w:pPr>
              <w:rPr>
                <w:b/>
              </w:rPr>
            </w:pPr>
            <w:r>
              <w:rPr>
                <w:b/>
              </w:rPr>
              <w:t>Records Schedule applies to</w:t>
            </w:r>
          </w:p>
        </w:tc>
        <w:tc>
          <w:tcPr>
            <w:tcW w:w="5935" w:type="dxa"/>
          </w:tcPr>
          <w:p w14:paraId="63F16868" w14:textId="77777777" w:rsidR="00287BD0" w:rsidRDefault="00C30E97">
            <w:r>
              <w:t>Office of Cryptocurrency Policy</w:t>
            </w:r>
          </w:p>
        </w:tc>
      </w:tr>
      <w:tr w:rsidR="00287BD0" w14:paraId="023B2B6C" w14:textId="77777777" w:rsidTr="00753045">
        <w:trPr>
          <w:cantSplit/>
        </w:trPr>
        <w:tc>
          <w:tcPr>
            <w:tcW w:w="3415" w:type="dxa"/>
            <w:shd w:val="clear" w:color="auto" w:fill="BDD7EE"/>
            <w:vAlign w:val="bottom"/>
          </w:tcPr>
          <w:p w14:paraId="79118BBD" w14:textId="77777777" w:rsidR="00287BD0" w:rsidRDefault="00C30E97">
            <w:pPr>
              <w:rPr>
                <w:b/>
              </w:rPr>
            </w:pPr>
            <w:r>
              <w:rPr>
                <w:b/>
              </w:rPr>
              <w:t>Schedule Subject</w:t>
            </w:r>
          </w:p>
          <w:p w14:paraId="312ACA39" w14:textId="77777777" w:rsidR="00287BD0" w:rsidRDefault="00C30E97">
            <w:pPr>
              <w:rPr>
                <w:i/>
                <w:color w:val="404040"/>
              </w:rPr>
            </w:pPr>
            <w:r>
              <w:rPr>
                <w:i/>
                <w:color w:val="404040"/>
              </w:rPr>
              <w:t>(A short title for the schedule.)</w:t>
            </w:r>
          </w:p>
        </w:tc>
        <w:tc>
          <w:tcPr>
            <w:tcW w:w="5935" w:type="dxa"/>
            <w:vAlign w:val="bottom"/>
          </w:tcPr>
          <w:p w14:paraId="519CAA39" w14:textId="77777777" w:rsidR="00287BD0" w:rsidRDefault="00C30E97">
            <w:r>
              <w:t>Cryptocurrencies Reference Database (CRD)</w:t>
            </w:r>
          </w:p>
        </w:tc>
      </w:tr>
      <w:tr w:rsidR="00287BD0" w14:paraId="4336D084" w14:textId="77777777" w:rsidTr="00753045">
        <w:trPr>
          <w:cantSplit/>
        </w:trPr>
        <w:tc>
          <w:tcPr>
            <w:tcW w:w="3415" w:type="dxa"/>
            <w:shd w:val="clear" w:color="auto" w:fill="BDD7EE"/>
            <w:vAlign w:val="bottom"/>
          </w:tcPr>
          <w:p w14:paraId="32FD7220" w14:textId="77777777" w:rsidR="00287BD0" w:rsidRDefault="00C30E97">
            <w:r>
              <w:rPr>
                <w:b/>
              </w:rPr>
              <w:t xml:space="preserve">Internal agency concurrences </w:t>
            </w:r>
            <w:r>
              <w:rPr>
                <w:i/>
                <w:color w:val="404040"/>
              </w:rPr>
              <w:t>(Note how you are documenti</w:t>
            </w:r>
            <w:bookmarkStart w:id="0" w:name="_GoBack"/>
            <w:bookmarkEnd w:id="0"/>
            <w:r>
              <w:rPr>
                <w:i/>
                <w:color w:val="404040"/>
              </w:rPr>
              <w:t>ng the internal schedule review and approval process</w:t>
            </w:r>
            <w:r>
              <w:t>)</w:t>
            </w:r>
          </w:p>
        </w:tc>
        <w:tc>
          <w:tcPr>
            <w:tcW w:w="5935" w:type="dxa"/>
            <w:vAlign w:val="bottom"/>
          </w:tcPr>
          <w:p w14:paraId="40100FB1" w14:textId="77777777" w:rsidR="00287BD0" w:rsidRDefault="00C30E97">
            <w:r>
              <w:t>Final agency intern</w:t>
            </w:r>
            <w:r>
              <w:t xml:space="preserve">al concurrences were documented via email and e-signed by the Director, Office of Cryptocurrency Policy, and by the Agency Records Officer. </w:t>
            </w:r>
          </w:p>
        </w:tc>
      </w:tr>
      <w:tr w:rsidR="00287BD0" w14:paraId="7D8CB92C" w14:textId="77777777" w:rsidTr="00753045">
        <w:trPr>
          <w:cantSplit/>
        </w:trPr>
        <w:tc>
          <w:tcPr>
            <w:tcW w:w="3415" w:type="dxa"/>
            <w:shd w:val="clear" w:color="auto" w:fill="BDD7EE"/>
            <w:vAlign w:val="bottom"/>
          </w:tcPr>
          <w:p w14:paraId="28EA4247" w14:textId="77777777" w:rsidR="00287BD0" w:rsidRDefault="00C30E97">
            <w:pPr>
              <w:rPr>
                <w:b/>
              </w:rPr>
            </w:pPr>
            <w:r>
              <w:rPr>
                <w:b/>
              </w:rPr>
              <w:t>Background Information</w:t>
            </w:r>
          </w:p>
          <w:p w14:paraId="3DFD6DF7" w14:textId="77777777" w:rsidR="00287BD0" w:rsidRDefault="00C30E97">
            <w:pPr>
              <w:rPr>
                <w:i/>
                <w:color w:val="404040"/>
              </w:rPr>
            </w:pPr>
            <w:r>
              <w:rPr>
                <w:i/>
                <w:color w:val="404040"/>
              </w:rPr>
              <w:t>(Note any background information relevant to the schedule, such as information about the mi</w:t>
            </w:r>
            <w:r>
              <w:rPr>
                <w:i/>
                <w:color w:val="404040"/>
              </w:rPr>
              <w:t>ssion of the offices using the schedule or any underlying statutes and regulations related to the schedule.)</w:t>
            </w:r>
          </w:p>
        </w:tc>
        <w:tc>
          <w:tcPr>
            <w:tcW w:w="5935" w:type="dxa"/>
            <w:vAlign w:val="bottom"/>
          </w:tcPr>
          <w:p w14:paraId="3E708435" w14:textId="77777777" w:rsidR="00287BD0" w:rsidRDefault="00C30E97">
            <w:r>
              <w:t>The Office of Cryptocurrency Policy uses the CRD to store and access reference information on current and former cryptocurrency platforms.  Staff enter new information into the database as information becomes available.</w:t>
            </w:r>
          </w:p>
        </w:tc>
      </w:tr>
      <w:tr w:rsidR="00287BD0" w14:paraId="52C2ED08" w14:textId="77777777" w:rsidTr="00753045">
        <w:trPr>
          <w:cantSplit/>
        </w:trPr>
        <w:tc>
          <w:tcPr>
            <w:tcW w:w="3415" w:type="dxa"/>
            <w:shd w:val="clear" w:color="auto" w:fill="BDD7EE"/>
            <w:vAlign w:val="bottom"/>
          </w:tcPr>
          <w:p w14:paraId="1AA8B79C" w14:textId="77777777" w:rsidR="00287BD0" w:rsidRDefault="00C30E97">
            <w:pPr>
              <w:rPr>
                <w:b/>
              </w:rPr>
            </w:pPr>
            <w:r>
              <w:rPr>
                <w:b/>
              </w:rPr>
              <w:t>Overview Title and Description</w:t>
            </w:r>
          </w:p>
          <w:p w14:paraId="5598A16E" w14:textId="77777777" w:rsidR="00287BD0" w:rsidRDefault="00C30E97">
            <w:pPr>
              <w:rPr>
                <w:i/>
                <w:color w:val="404040"/>
              </w:rPr>
            </w:pPr>
            <w:r>
              <w:rPr>
                <w:i/>
                <w:color w:val="404040"/>
              </w:rPr>
              <w:t xml:space="preserve">(An </w:t>
            </w:r>
            <w:r>
              <w:rPr>
                <w:i/>
                <w:color w:val="404040"/>
              </w:rPr>
              <w:t>Overview is an optional, descriptive heading with information used to group related items under that heading.  Do not use if documenting a single item.)</w:t>
            </w:r>
          </w:p>
        </w:tc>
        <w:tc>
          <w:tcPr>
            <w:tcW w:w="5935" w:type="dxa"/>
            <w:vAlign w:val="bottom"/>
          </w:tcPr>
          <w:p w14:paraId="5B75D6EB" w14:textId="77777777" w:rsidR="00287BD0" w:rsidRDefault="00C30E97">
            <w:r>
              <w:t>N/A</w:t>
            </w:r>
          </w:p>
        </w:tc>
      </w:tr>
      <w:tr w:rsidR="00287BD0" w14:paraId="728D08A4" w14:textId="77777777" w:rsidTr="00753045">
        <w:trPr>
          <w:cantSplit/>
        </w:trPr>
        <w:tc>
          <w:tcPr>
            <w:tcW w:w="3415" w:type="dxa"/>
            <w:shd w:val="clear" w:color="auto" w:fill="BDD7EE"/>
            <w:vAlign w:val="bottom"/>
          </w:tcPr>
          <w:p w14:paraId="1B0C28D2" w14:textId="77777777" w:rsidR="00287BD0" w:rsidRDefault="00C30E97">
            <w:pPr>
              <w:rPr>
                <w:b/>
              </w:rPr>
            </w:pPr>
            <w:r>
              <w:rPr>
                <w:b/>
              </w:rPr>
              <w:t>Item Title</w:t>
            </w:r>
          </w:p>
          <w:p w14:paraId="3C86BCC2" w14:textId="77777777" w:rsidR="00287BD0" w:rsidRDefault="00C30E97">
            <w:pPr>
              <w:rPr>
                <w:i/>
                <w:color w:val="404040"/>
              </w:rPr>
            </w:pPr>
            <w:r>
              <w:rPr>
                <w:i/>
                <w:color w:val="404040"/>
              </w:rPr>
              <w:t>(A name clearly representing the records being described by the schedule.  The title sh</w:t>
            </w:r>
            <w:r>
              <w:rPr>
                <w:i/>
                <w:color w:val="404040"/>
              </w:rPr>
              <w:t>ould be meaningful to agency personnel.)</w:t>
            </w:r>
          </w:p>
        </w:tc>
        <w:tc>
          <w:tcPr>
            <w:tcW w:w="5935" w:type="dxa"/>
            <w:vAlign w:val="bottom"/>
          </w:tcPr>
          <w:p w14:paraId="1804285C" w14:textId="77777777" w:rsidR="00287BD0" w:rsidRDefault="00C30E97">
            <w:r>
              <w:t>Cryptocurrencies Reference Database Master Data File</w:t>
            </w:r>
          </w:p>
        </w:tc>
      </w:tr>
      <w:tr w:rsidR="00287BD0" w14:paraId="4D97E8EC" w14:textId="77777777" w:rsidTr="00753045">
        <w:trPr>
          <w:cantSplit/>
        </w:trPr>
        <w:tc>
          <w:tcPr>
            <w:tcW w:w="3415" w:type="dxa"/>
            <w:shd w:val="clear" w:color="auto" w:fill="BDD7EE"/>
            <w:vAlign w:val="bottom"/>
          </w:tcPr>
          <w:p w14:paraId="279176C3" w14:textId="77777777" w:rsidR="00287BD0" w:rsidRDefault="00C30E97">
            <w:pPr>
              <w:rPr>
                <w:b/>
              </w:rPr>
            </w:pPr>
            <w:r>
              <w:rPr>
                <w:b/>
              </w:rPr>
              <w:t>Item Description</w:t>
            </w:r>
          </w:p>
          <w:p w14:paraId="1285E1FF" w14:textId="77777777" w:rsidR="00287BD0" w:rsidRDefault="00C30E97">
            <w:pPr>
              <w:rPr>
                <w:i/>
              </w:rPr>
            </w:pPr>
            <w:r>
              <w:rPr>
                <w:i/>
              </w:rPr>
              <w:t>(Include clear, concise information about the record content and the function for which the records are used.)</w:t>
            </w:r>
          </w:p>
        </w:tc>
        <w:tc>
          <w:tcPr>
            <w:tcW w:w="5935" w:type="dxa"/>
            <w:vAlign w:val="bottom"/>
          </w:tcPr>
          <w:p w14:paraId="353BAE3B" w14:textId="77777777" w:rsidR="00287BD0" w:rsidRDefault="00C30E97">
            <w:r>
              <w:t>Information documenting current a</w:t>
            </w:r>
            <w:r>
              <w:t>nd former cryptocurrency platforms.  Included are currency names, dates of operation, sponsoring organizations, historic and current price charts, and other information, such as litigation or market news, relating to the currency.</w:t>
            </w:r>
          </w:p>
        </w:tc>
      </w:tr>
      <w:tr w:rsidR="00287BD0" w14:paraId="44F7CAF7" w14:textId="77777777" w:rsidTr="00753045">
        <w:trPr>
          <w:cantSplit/>
        </w:trPr>
        <w:tc>
          <w:tcPr>
            <w:tcW w:w="3415" w:type="dxa"/>
            <w:shd w:val="clear" w:color="auto" w:fill="BDD7EE"/>
            <w:vAlign w:val="bottom"/>
          </w:tcPr>
          <w:p w14:paraId="57CF7741" w14:textId="77777777" w:rsidR="00287BD0" w:rsidRDefault="00C30E97">
            <w:pPr>
              <w:rPr>
                <w:b/>
              </w:rPr>
            </w:pPr>
            <w:r>
              <w:rPr>
                <w:b/>
              </w:rPr>
              <w:t>Final Disposition</w:t>
            </w:r>
          </w:p>
          <w:p w14:paraId="4D1EEA6E" w14:textId="77777777" w:rsidR="00287BD0" w:rsidRDefault="00C30E97">
            <w:pPr>
              <w:rPr>
                <w:i/>
                <w:color w:val="404040"/>
              </w:rPr>
            </w:pPr>
            <w:r>
              <w:rPr>
                <w:i/>
                <w:color w:val="404040"/>
              </w:rPr>
              <w:t>(Indic</w:t>
            </w:r>
            <w:r>
              <w:rPr>
                <w:i/>
                <w:color w:val="404040"/>
              </w:rPr>
              <w:t>ate whether you are proposing the records as Temporary or Permanent.)</w:t>
            </w:r>
          </w:p>
        </w:tc>
        <w:tc>
          <w:tcPr>
            <w:tcW w:w="5935" w:type="dxa"/>
            <w:vAlign w:val="bottom"/>
          </w:tcPr>
          <w:p w14:paraId="3614546E" w14:textId="77777777" w:rsidR="00287BD0" w:rsidRDefault="00C30E97">
            <w:r>
              <w:t>Temporary.</w:t>
            </w:r>
          </w:p>
        </w:tc>
      </w:tr>
      <w:tr w:rsidR="00287BD0" w14:paraId="5F0AE6DE" w14:textId="77777777" w:rsidTr="00753045">
        <w:trPr>
          <w:cantSplit/>
        </w:trPr>
        <w:tc>
          <w:tcPr>
            <w:tcW w:w="3415" w:type="dxa"/>
            <w:shd w:val="clear" w:color="auto" w:fill="BDD7EE"/>
            <w:vAlign w:val="bottom"/>
          </w:tcPr>
          <w:p w14:paraId="713238C0" w14:textId="77777777" w:rsidR="00287BD0" w:rsidRDefault="00C30E97">
            <w:pPr>
              <w:rPr>
                <w:b/>
              </w:rPr>
            </w:pPr>
            <w:r>
              <w:rPr>
                <w:b/>
              </w:rPr>
              <w:t>Is this item media neutral?</w:t>
            </w:r>
          </w:p>
          <w:p w14:paraId="2EB8017B" w14:textId="77777777" w:rsidR="00287BD0" w:rsidRDefault="00C30E97">
            <w:pPr>
              <w:rPr>
                <w:i/>
              </w:rPr>
            </w:pPr>
            <w:r>
              <w:rPr>
                <w:i/>
              </w:rPr>
              <w:t>(If records being scheduled are media-specific, indicate “No.”)</w:t>
            </w:r>
          </w:p>
        </w:tc>
        <w:tc>
          <w:tcPr>
            <w:tcW w:w="5935" w:type="dxa"/>
            <w:vAlign w:val="bottom"/>
          </w:tcPr>
          <w:p w14:paraId="641D9C88" w14:textId="77777777" w:rsidR="00287BD0" w:rsidRDefault="00C30E97">
            <w:r>
              <w:t>Yes.</w:t>
            </w:r>
          </w:p>
        </w:tc>
      </w:tr>
      <w:tr w:rsidR="00287BD0" w14:paraId="69813D49" w14:textId="77777777" w:rsidTr="00753045">
        <w:trPr>
          <w:cantSplit/>
        </w:trPr>
        <w:tc>
          <w:tcPr>
            <w:tcW w:w="3415" w:type="dxa"/>
            <w:shd w:val="clear" w:color="auto" w:fill="BDD7EE"/>
            <w:vAlign w:val="bottom"/>
          </w:tcPr>
          <w:p w14:paraId="4047CE35" w14:textId="77777777" w:rsidR="00287BD0" w:rsidRDefault="00C30E97">
            <w:pPr>
              <w:rPr>
                <w:b/>
              </w:rPr>
            </w:pPr>
            <w:r>
              <w:rPr>
                <w:b/>
              </w:rPr>
              <w:lastRenderedPageBreak/>
              <w:t>Do any of the records covered by this item currently exist in electronic format(s) other than email and word processing?</w:t>
            </w:r>
          </w:p>
          <w:p w14:paraId="1DBE8EE3" w14:textId="77777777" w:rsidR="00287BD0" w:rsidRDefault="00C30E97">
            <w:pPr>
              <w:rPr>
                <w:i/>
                <w:color w:val="404040"/>
              </w:rPr>
            </w:pPr>
            <w:r>
              <w:rPr>
                <w:i/>
                <w:color w:val="404040"/>
              </w:rPr>
              <w:t>(If the files exist in electronic formats other than email and word processing, indicate “Yes.”)</w:t>
            </w:r>
          </w:p>
        </w:tc>
        <w:tc>
          <w:tcPr>
            <w:tcW w:w="5935" w:type="dxa"/>
            <w:vAlign w:val="bottom"/>
          </w:tcPr>
          <w:p w14:paraId="327C66D1" w14:textId="77777777" w:rsidR="00287BD0" w:rsidRDefault="00C30E97">
            <w:r>
              <w:t>Yes – Master file includes files in PD</w:t>
            </w:r>
            <w:r>
              <w:t>F, MS Excel, JPG, MS Word, MS PowerPoint formats.</w:t>
            </w:r>
          </w:p>
        </w:tc>
      </w:tr>
      <w:tr w:rsidR="00287BD0" w14:paraId="7319DE0E" w14:textId="77777777" w:rsidTr="00753045">
        <w:trPr>
          <w:cantSplit/>
        </w:trPr>
        <w:tc>
          <w:tcPr>
            <w:tcW w:w="3415" w:type="dxa"/>
            <w:shd w:val="clear" w:color="auto" w:fill="BDD7EE"/>
            <w:vAlign w:val="bottom"/>
          </w:tcPr>
          <w:p w14:paraId="1E18FFCD" w14:textId="77777777" w:rsidR="00287BD0" w:rsidRDefault="00C30E97">
            <w:pPr>
              <w:rPr>
                <w:b/>
              </w:rPr>
            </w:pPr>
            <w:r>
              <w:rPr>
                <w:b/>
              </w:rPr>
              <w:t>Do any of the records covered by this item exist as structured electronic data?</w:t>
            </w:r>
          </w:p>
          <w:p w14:paraId="401A0CA0" w14:textId="77777777" w:rsidR="00287BD0" w:rsidRDefault="00C30E97">
            <w:pPr>
              <w:rPr>
                <w:i/>
                <w:color w:val="404040"/>
              </w:rPr>
            </w:pPr>
            <w:r>
              <w:rPr>
                <w:i/>
                <w:color w:val="404040"/>
              </w:rPr>
              <w:t>(If the records exist as a database or fielded data, indicate “Yes.”)</w:t>
            </w:r>
          </w:p>
        </w:tc>
        <w:tc>
          <w:tcPr>
            <w:tcW w:w="5935" w:type="dxa"/>
            <w:vAlign w:val="bottom"/>
          </w:tcPr>
          <w:p w14:paraId="426335F5" w14:textId="77777777" w:rsidR="00287BD0" w:rsidRDefault="00C30E97">
            <w:r>
              <w:t>Yes</w:t>
            </w:r>
          </w:p>
        </w:tc>
      </w:tr>
      <w:tr w:rsidR="00287BD0" w14:paraId="09861315" w14:textId="77777777" w:rsidTr="00753045">
        <w:trPr>
          <w:cantSplit/>
        </w:trPr>
        <w:tc>
          <w:tcPr>
            <w:tcW w:w="3415" w:type="dxa"/>
            <w:shd w:val="clear" w:color="auto" w:fill="BDD7EE"/>
            <w:vAlign w:val="bottom"/>
          </w:tcPr>
          <w:p w14:paraId="4268A810" w14:textId="77777777" w:rsidR="00287BD0" w:rsidRDefault="00C30E97">
            <w:pPr>
              <w:rPr>
                <w:b/>
              </w:rPr>
            </w:pPr>
            <w:r>
              <w:rPr>
                <w:b/>
              </w:rPr>
              <w:t>Manual Citation Information</w:t>
            </w:r>
          </w:p>
          <w:p w14:paraId="440433B8" w14:textId="77777777" w:rsidR="00287BD0" w:rsidRDefault="00C30E97">
            <w:pPr>
              <w:rPr>
                <w:i/>
                <w:color w:val="404040"/>
              </w:rPr>
            </w:pPr>
            <w:r>
              <w:rPr>
                <w:i/>
                <w:color w:val="404040"/>
              </w:rPr>
              <w:t>(Enter the agency reco</w:t>
            </w:r>
            <w:r>
              <w:rPr>
                <w:i/>
                <w:color w:val="404040"/>
              </w:rPr>
              <w:t>rds disposition manual title and citation information. (Optional))</w:t>
            </w:r>
          </w:p>
        </w:tc>
        <w:tc>
          <w:tcPr>
            <w:tcW w:w="5935" w:type="dxa"/>
            <w:vAlign w:val="bottom"/>
          </w:tcPr>
          <w:p w14:paraId="704105BD" w14:textId="77777777" w:rsidR="00287BD0" w:rsidRDefault="00C30E97">
            <w:r>
              <w:t>FEC Records Disposition Manual, Item SYS-700</w:t>
            </w:r>
          </w:p>
        </w:tc>
      </w:tr>
      <w:tr w:rsidR="00287BD0" w14:paraId="37FB1E7D" w14:textId="77777777" w:rsidTr="00753045">
        <w:trPr>
          <w:cantSplit/>
        </w:trPr>
        <w:tc>
          <w:tcPr>
            <w:tcW w:w="3415" w:type="dxa"/>
            <w:shd w:val="clear" w:color="auto" w:fill="BDD7EE"/>
            <w:vAlign w:val="bottom"/>
          </w:tcPr>
          <w:p w14:paraId="7796C3FF" w14:textId="77777777" w:rsidR="00287BD0" w:rsidRDefault="00C30E97">
            <w:pPr>
              <w:rPr>
                <w:b/>
              </w:rPr>
            </w:pPr>
            <w:r>
              <w:rPr>
                <w:b/>
              </w:rPr>
              <w:t>GRS or Superseded Authority Citation</w:t>
            </w:r>
          </w:p>
          <w:p w14:paraId="6DEA16C1" w14:textId="77777777" w:rsidR="00287BD0" w:rsidRDefault="00C30E97">
            <w:pPr>
              <w:rPr>
                <w:i/>
              </w:rPr>
            </w:pPr>
            <w:r>
              <w:rPr>
                <w:i/>
              </w:rPr>
              <w:t>(Use only if requesting an exception to the retention specified in the GRS or superseding an existing, app</w:t>
            </w:r>
            <w:r>
              <w:rPr>
                <w:i/>
              </w:rPr>
              <w:t>roved agency schedule.)</w:t>
            </w:r>
          </w:p>
        </w:tc>
        <w:tc>
          <w:tcPr>
            <w:tcW w:w="5935" w:type="dxa"/>
            <w:vAlign w:val="bottom"/>
          </w:tcPr>
          <w:p w14:paraId="4877D38A" w14:textId="77777777" w:rsidR="00287BD0" w:rsidRDefault="00C30E97">
            <w:r>
              <w:t>N/A</w:t>
            </w:r>
          </w:p>
        </w:tc>
      </w:tr>
      <w:tr w:rsidR="00287BD0" w14:paraId="65B2C1CD" w14:textId="77777777" w:rsidTr="00753045">
        <w:trPr>
          <w:cantSplit/>
        </w:trPr>
        <w:tc>
          <w:tcPr>
            <w:tcW w:w="3415" w:type="dxa"/>
            <w:shd w:val="clear" w:color="auto" w:fill="BDD7EE"/>
            <w:vAlign w:val="bottom"/>
          </w:tcPr>
          <w:p w14:paraId="37CD7495" w14:textId="77777777" w:rsidR="00287BD0" w:rsidRDefault="00C30E97">
            <w:pPr>
              <w:rPr>
                <w:b/>
              </w:rPr>
            </w:pPr>
            <w:r>
              <w:rPr>
                <w:b/>
              </w:rPr>
              <w:t>Disposition Instructions:  Cutoff</w:t>
            </w:r>
          </w:p>
          <w:p w14:paraId="5FFE436E" w14:textId="77777777" w:rsidR="00287BD0" w:rsidRDefault="00C30E97">
            <w:pPr>
              <w:rPr>
                <w:i/>
              </w:rPr>
            </w:pPr>
            <w:r>
              <w:rPr>
                <w:i/>
              </w:rPr>
              <w:t>(Include the cutoff, such as calendar year, fiscal year, etc.)</w:t>
            </w:r>
          </w:p>
        </w:tc>
        <w:tc>
          <w:tcPr>
            <w:tcW w:w="5935" w:type="dxa"/>
            <w:vAlign w:val="bottom"/>
          </w:tcPr>
          <w:p w14:paraId="386DC1DB" w14:textId="77777777" w:rsidR="00287BD0" w:rsidRDefault="00C30E97">
            <w:r>
              <w:t>Cut off when no longer needed for business use.</w:t>
            </w:r>
          </w:p>
        </w:tc>
      </w:tr>
      <w:tr w:rsidR="00287BD0" w14:paraId="1E60EB81" w14:textId="77777777" w:rsidTr="00753045">
        <w:trPr>
          <w:cantSplit/>
        </w:trPr>
        <w:tc>
          <w:tcPr>
            <w:tcW w:w="3415" w:type="dxa"/>
            <w:shd w:val="clear" w:color="auto" w:fill="BDD7EE"/>
            <w:vAlign w:val="bottom"/>
          </w:tcPr>
          <w:p w14:paraId="15C1CE1C" w14:textId="77777777" w:rsidR="00287BD0" w:rsidRDefault="00C30E97">
            <w:pPr>
              <w:rPr>
                <w:b/>
              </w:rPr>
            </w:pPr>
            <w:r>
              <w:rPr>
                <w:b/>
              </w:rPr>
              <w:t>Disposition Instructions: Transfer to Inactive Storage</w:t>
            </w:r>
          </w:p>
          <w:p w14:paraId="470CCC95" w14:textId="77777777" w:rsidR="00287BD0" w:rsidRDefault="00C30E97">
            <w:pPr>
              <w:rPr>
                <w:i/>
                <w:color w:val="404040"/>
              </w:rPr>
            </w:pPr>
            <w:r>
              <w:rPr>
                <w:i/>
                <w:color w:val="404040"/>
              </w:rPr>
              <w:t>(Include information about when and where you are sending the records for inactive storage.)</w:t>
            </w:r>
          </w:p>
        </w:tc>
        <w:tc>
          <w:tcPr>
            <w:tcW w:w="5935" w:type="dxa"/>
            <w:vAlign w:val="bottom"/>
          </w:tcPr>
          <w:p w14:paraId="511143C0" w14:textId="77777777" w:rsidR="00287BD0" w:rsidRDefault="00C30E97">
            <w:r>
              <w:t>N/A</w:t>
            </w:r>
          </w:p>
        </w:tc>
      </w:tr>
      <w:tr w:rsidR="00287BD0" w14:paraId="6217DE5D" w14:textId="77777777" w:rsidTr="00753045">
        <w:trPr>
          <w:cantSplit/>
        </w:trPr>
        <w:tc>
          <w:tcPr>
            <w:tcW w:w="3415" w:type="dxa"/>
            <w:shd w:val="clear" w:color="auto" w:fill="BDD7EE"/>
            <w:vAlign w:val="bottom"/>
          </w:tcPr>
          <w:p w14:paraId="073763AC" w14:textId="77777777" w:rsidR="00287BD0" w:rsidRDefault="00C30E97">
            <w:pPr>
              <w:rPr>
                <w:b/>
              </w:rPr>
            </w:pPr>
            <w:r>
              <w:rPr>
                <w:b/>
              </w:rPr>
              <w:t>Retention Period</w:t>
            </w:r>
          </w:p>
          <w:p w14:paraId="72F76C9D" w14:textId="77777777" w:rsidR="00287BD0" w:rsidRDefault="00C30E97">
            <w:pPr>
              <w:rPr>
                <w:i/>
                <w:color w:val="404040"/>
              </w:rPr>
            </w:pPr>
            <w:r>
              <w:rPr>
                <w:i/>
                <w:color w:val="404040"/>
              </w:rPr>
              <w:t xml:space="preserve">(The length of time before temporary records are to be destroyed or permanent records </w:t>
            </w:r>
            <w:r>
              <w:rPr>
                <w:i/>
                <w:color w:val="404040"/>
              </w:rPr>
              <w:t>are to be transferred to the National Archives.)</w:t>
            </w:r>
          </w:p>
        </w:tc>
        <w:tc>
          <w:tcPr>
            <w:tcW w:w="5935" w:type="dxa"/>
            <w:vAlign w:val="bottom"/>
          </w:tcPr>
          <w:p w14:paraId="190EA68B" w14:textId="77777777" w:rsidR="00287BD0" w:rsidRDefault="00C30E97">
            <w:r>
              <w:t>Delete 3 years after cutoff.</w:t>
            </w:r>
          </w:p>
        </w:tc>
      </w:tr>
      <w:tr w:rsidR="00287BD0" w14:paraId="46DF674F" w14:textId="77777777" w:rsidTr="00753045">
        <w:trPr>
          <w:cantSplit/>
        </w:trPr>
        <w:tc>
          <w:tcPr>
            <w:tcW w:w="3415" w:type="dxa"/>
            <w:shd w:val="clear" w:color="auto" w:fill="BDD7EE"/>
            <w:vAlign w:val="bottom"/>
          </w:tcPr>
          <w:p w14:paraId="48BA74A5" w14:textId="77777777" w:rsidR="00287BD0" w:rsidRDefault="00C30E97">
            <w:pPr>
              <w:rPr>
                <w:b/>
              </w:rPr>
            </w:pPr>
            <w:r>
              <w:rPr>
                <w:b/>
              </w:rPr>
              <w:t>Temporary Records: GAO Approval</w:t>
            </w:r>
          </w:p>
          <w:p w14:paraId="3419B622" w14:textId="77777777" w:rsidR="00287BD0" w:rsidRDefault="00C30E97">
            <w:pPr>
              <w:rPr>
                <w:i/>
                <w:color w:val="404040"/>
              </w:rPr>
            </w:pPr>
            <w:r>
              <w:rPr>
                <w:i/>
                <w:color w:val="404040"/>
              </w:rPr>
              <w:t>(Indicate whether GAO approval is needed for this item)</w:t>
            </w:r>
          </w:p>
        </w:tc>
        <w:tc>
          <w:tcPr>
            <w:tcW w:w="5935" w:type="dxa"/>
            <w:vAlign w:val="bottom"/>
          </w:tcPr>
          <w:p w14:paraId="596D082C" w14:textId="77777777" w:rsidR="00287BD0" w:rsidRDefault="00C30E97">
            <w:r>
              <w:t>Not needed.</w:t>
            </w:r>
          </w:p>
        </w:tc>
      </w:tr>
      <w:tr w:rsidR="00287BD0" w14:paraId="75483937" w14:textId="77777777" w:rsidTr="00753045">
        <w:trPr>
          <w:cantSplit/>
        </w:trPr>
        <w:tc>
          <w:tcPr>
            <w:tcW w:w="3415" w:type="dxa"/>
            <w:shd w:val="clear" w:color="auto" w:fill="BDD7EE"/>
            <w:vAlign w:val="bottom"/>
          </w:tcPr>
          <w:p w14:paraId="038B2E0D" w14:textId="77777777" w:rsidR="00287BD0" w:rsidRDefault="00C30E97">
            <w:pPr>
              <w:rPr>
                <w:b/>
              </w:rPr>
            </w:pPr>
            <w:r>
              <w:rPr>
                <w:b/>
              </w:rPr>
              <w:t xml:space="preserve">Permanent Records: Date span of initial transfer of records to the National </w:t>
            </w:r>
            <w:r>
              <w:rPr>
                <w:b/>
              </w:rPr>
              <w:t>Archives.</w:t>
            </w:r>
          </w:p>
        </w:tc>
        <w:tc>
          <w:tcPr>
            <w:tcW w:w="5935" w:type="dxa"/>
            <w:vAlign w:val="bottom"/>
          </w:tcPr>
          <w:p w14:paraId="0D724EDD" w14:textId="77777777" w:rsidR="00287BD0" w:rsidRDefault="00C30E97">
            <w:r>
              <w:t>N/A</w:t>
            </w:r>
          </w:p>
        </w:tc>
      </w:tr>
      <w:tr w:rsidR="00287BD0" w14:paraId="69D73999" w14:textId="77777777" w:rsidTr="00753045">
        <w:trPr>
          <w:cantSplit/>
        </w:trPr>
        <w:tc>
          <w:tcPr>
            <w:tcW w:w="3415" w:type="dxa"/>
            <w:shd w:val="clear" w:color="auto" w:fill="BDD7EE"/>
            <w:vAlign w:val="bottom"/>
          </w:tcPr>
          <w:p w14:paraId="6EC7F760" w14:textId="77777777" w:rsidR="00287BD0" w:rsidRDefault="00C30E97">
            <w:pPr>
              <w:rPr>
                <w:b/>
              </w:rPr>
            </w:pPr>
            <w:r>
              <w:rPr>
                <w:b/>
              </w:rPr>
              <w:t>Permanent Records: How frequently will your agency transfer these records to the National Archives?</w:t>
            </w:r>
          </w:p>
        </w:tc>
        <w:tc>
          <w:tcPr>
            <w:tcW w:w="5935" w:type="dxa"/>
            <w:vAlign w:val="bottom"/>
          </w:tcPr>
          <w:p w14:paraId="086A1C95" w14:textId="77777777" w:rsidR="00287BD0" w:rsidRDefault="00C30E97">
            <w:r>
              <w:t>N/A</w:t>
            </w:r>
          </w:p>
        </w:tc>
      </w:tr>
      <w:tr w:rsidR="00287BD0" w14:paraId="5C4C65D9" w14:textId="77777777" w:rsidTr="00753045">
        <w:trPr>
          <w:cantSplit/>
        </w:trPr>
        <w:tc>
          <w:tcPr>
            <w:tcW w:w="3415" w:type="dxa"/>
            <w:shd w:val="clear" w:color="auto" w:fill="BDD7EE"/>
            <w:vAlign w:val="bottom"/>
          </w:tcPr>
          <w:p w14:paraId="00C988A3" w14:textId="77777777" w:rsidR="00287BD0" w:rsidRDefault="00C30E97">
            <w:pPr>
              <w:rPr>
                <w:b/>
              </w:rPr>
            </w:pPr>
            <w:r>
              <w:rPr>
                <w:b/>
              </w:rPr>
              <w:lastRenderedPageBreak/>
              <w:t>Permanent Records: Estimated current volume and annual accumulation.</w:t>
            </w:r>
          </w:p>
        </w:tc>
        <w:tc>
          <w:tcPr>
            <w:tcW w:w="5935" w:type="dxa"/>
            <w:vAlign w:val="bottom"/>
          </w:tcPr>
          <w:p w14:paraId="4E8B97D3" w14:textId="77777777" w:rsidR="00287BD0" w:rsidRDefault="00C30E97">
            <w:r>
              <w:t>N/A</w:t>
            </w:r>
          </w:p>
        </w:tc>
      </w:tr>
      <w:tr w:rsidR="00287BD0" w14:paraId="0DDD5817" w14:textId="77777777" w:rsidTr="00753045">
        <w:trPr>
          <w:cantSplit/>
          <w:trHeight w:val="1040"/>
        </w:trPr>
        <w:tc>
          <w:tcPr>
            <w:tcW w:w="3415" w:type="dxa"/>
            <w:shd w:val="clear" w:color="auto" w:fill="BDD7EE"/>
            <w:vAlign w:val="bottom"/>
          </w:tcPr>
          <w:p w14:paraId="79EC2639" w14:textId="77777777" w:rsidR="00287BD0" w:rsidRDefault="00C30E97">
            <w:pPr>
              <w:rPr>
                <w:b/>
              </w:rPr>
            </w:pPr>
            <w:r>
              <w:rPr>
                <w:b/>
              </w:rPr>
              <w:t>Other information or notes for this schedule.</w:t>
            </w:r>
          </w:p>
        </w:tc>
        <w:tc>
          <w:tcPr>
            <w:tcW w:w="5935" w:type="dxa"/>
            <w:vAlign w:val="bottom"/>
          </w:tcPr>
          <w:p w14:paraId="7383443A" w14:textId="77777777" w:rsidR="00287BD0" w:rsidRDefault="00C30E97">
            <w:bookmarkStart w:id="1" w:name="_gjdgxs" w:colFirst="0" w:colLast="0"/>
            <w:bookmarkEnd w:id="1"/>
            <w:r>
              <w:t>System inputs and outputs will be scheduled under GRS 5.2/020.  System documentation will be scheduled under GRS 3.1/051.</w:t>
            </w:r>
          </w:p>
        </w:tc>
      </w:tr>
    </w:tbl>
    <w:p w14:paraId="7F8916EF" w14:textId="77777777" w:rsidR="00287BD0" w:rsidRDefault="00287BD0"/>
    <w:p w14:paraId="4941D1F3" w14:textId="77777777" w:rsidR="00287BD0" w:rsidRDefault="00287BD0"/>
    <w:sectPr w:rsidR="00287BD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BD0"/>
    <w:rsid w:val="00287BD0"/>
    <w:rsid w:val="00753045"/>
    <w:rsid w:val="00C30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125D9"/>
  <w15:docId w15:val="{A80943F9-3865-4832-BB45-9B43E0AE5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color w:val="2E75B5"/>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rPr>
      <w:color w:val="5A5A5A"/>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1104</Words>
  <Characters>6293</Characters>
  <Application>Microsoft Office Word</Application>
  <DocSecurity>0</DocSecurity>
  <Lines>52</Lines>
  <Paragraphs>14</Paragraphs>
  <ScaleCrop>false</ScaleCrop>
  <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3</cp:revision>
  <dcterms:created xsi:type="dcterms:W3CDTF">2020-01-13T19:08:00Z</dcterms:created>
  <dcterms:modified xsi:type="dcterms:W3CDTF">2020-01-13T19:17:00Z</dcterms:modified>
</cp:coreProperties>
</file>